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1E" w:rsidRDefault="005734D1" w:rsidP="005734D1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Wrightwood</w:t>
      </w:r>
    </w:p>
    <w:p w:rsidR="005734D1" w:rsidRDefault="005734D1" w:rsidP="005734D1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2016 3</w:t>
      </w:r>
      <w:r w:rsidRPr="005734D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5734D1" w:rsidRDefault="005734D1" w:rsidP="005734D1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C5CE438" wp14:editId="61CDAF7B">
            <wp:extent cx="9115425" cy="55816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5734D1" w:rsidRPr="005734D1" w:rsidRDefault="005734D1" w:rsidP="005734D1">
      <w:pPr>
        <w:jc w:val="center"/>
        <w:rPr>
          <w:rFonts w:ascii="Californian FB" w:hAnsi="Californian FB"/>
          <w:sz w:val="40"/>
          <w:szCs w:val="40"/>
        </w:rPr>
      </w:pPr>
    </w:p>
    <w:sectPr w:rsidR="005734D1" w:rsidRPr="005734D1" w:rsidSect="005734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1"/>
    <w:rsid w:val="005734D1"/>
    <w:rsid w:val="00A114A7"/>
    <w:rsid w:val="00E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086A-CFF2-4E88-8433-ECA0C399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7">
                  <c:v>7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0370592"/>
        <c:axId val="401423744"/>
        <c:axId val="0"/>
      </c:bar3DChart>
      <c:catAx>
        <c:axId val="410370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423744"/>
        <c:crosses val="autoZero"/>
        <c:auto val="1"/>
        <c:lblAlgn val="ctr"/>
        <c:lblOffset val="100"/>
        <c:noMultiLvlLbl val="0"/>
      </c:catAx>
      <c:valAx>
        <c:axId val="4014237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0370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0.16196</cdr:x>
      <cdr:y>0.20819</cdr:y>
    </cdr:from>
    <cdr:to>
      <cdr:x>0.45664</cdr:x>
      <cdr:y>0.25427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162050"/>
          <a:ext cx="2686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2,658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0.16196</cdr:x>
      <cdr:y>0.27474</cdr:y>
    </cdr:from>
    <cdr:to>
      <cdr:x>0.48903</cdr:x>
      <cdr:y>0.31911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533525"/>
          <a:ext cx="2981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2,101 </a:t>
          </a:r>
          <a:r>
            <a:rPr lang="en-US" sz="1000" i="1"/>
            <a:t>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0.15987</cdr:x>
      <cdr:y>0.343</cdr:y>
    </cdr:from>
    <cdr:to>
      <cdr:x>0.49321</cdr:x>
      <cdr:y>0.38737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1914525"/>
          <a:ext cx="3038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1,896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0.16196</cdr:x>
      <cdr:y>0.40956</cdr:y>
    </cdr:from>
    <cdr:to>
      <cdr:x>0.48276</cdr:x>
      <cdr:y>0.45392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286000"/>
          <a:ext cx="2924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1</a:t>
          </a:r>
          <a:r>
            <a:rPr lang="en-US" sz="1000" b="1" i="1"/>
            <a:t>,536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0.16301</cdr:x>
      <cdr:y>0.4744</cdr:y>
    </cdr:from>
    <cdr:to>
      <cdr:x>0.53187</cdr:x>
      <cdr:y>0.51877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647950"/>
          <a:ext cx="3362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1,580 </a:t>
          </a:r>
          <a:r>
            <a:rPr lang="en-US" sz="1000" i="1"/>
            <a:t>- Average Year Built </a:t>
          </a:r>
          <a:r>
            <a:rPr lang="en-US" sz="1000" b="1" i="1"/>
            <a:t>1971</a:t>
          </a:r>
        </a:p>
      </cdr:txBody>
    </cdr:sp>
  </cdr:relSizeAnchor>
  <cdr:relSizeAnchor xmlns:cdr="http://schemas.openxmlformats.org/drawingml/2006/chartDrawing">
    <cdr:from>
      <cdr:x>0.16196</cdr:x>
      <cdr:y>0.6058</cdr:y>
    </cdr:from>
    <cdr:to>
      <cdr:x>0.49843</cdr:x>
      <cdr:y>0.65188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381375"/>
          <a:ext cx="3067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1,130 </a:t>
          </a:r>
          <a:r>
            <a:rPr lang="en-US" sz="1000" i="1" baseline="0"/>
            <a:t>- Average Year Built </a:t>
          </a:r>
          <a:r>
            <a:rPr lang="en-US" sz="1000" b="1" i="1" baseline="0"/>
            <a:t>1947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0.16301</cdr:x>
      <cdr:y>0.67065</cdr:y>
    </cdr:from>
    <cdr:to>
      <cdr:x>0.50679</cdr:x>
      <cdr:y>0.7116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743325"/>
          <a:ext cx="31337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1,254</a:t>
          </a:r>
          <a:r>
            <a:rPr lang="en-US" sz="1000" i="1" baseline="0"/>
            <a:t> - Average Year Built </a:t>
          </a:r>
          <a:r>
            <a:rPr lang="en-US" sz="1000" b="1" i="1" baseline="0"/>
            <a:t>1954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0.16301</cdr:x>
      <cdr:y>0.7372</cdr:y>
    </cdr:from>
    <cdr:to>
      <cdr:x>0.47962</cdr:x>
      <cdr:y>0.78328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114800"/>
          <a:ext cx="2886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557</a:t>
          </a:r>
          <a:r>
            <a:rPr lang="en-US" sz="1000" i="1"/>
            <a:t> - Average Year Built </a:t>
          </a:r>
          <a:r>
            <a:rPr lang="en-US" sz="1000" b="1" i="1"/>
            <a:t>1948</a:t>
          </a:r>
        </a:p>
      </cdr:txBody>
    </cdr:sp>
  </cdr:relSizeAnchor>
  <cdr:relSizeAnchor xmlns:cdr="http://schemas.openxmlformats.org/drawingml/2006/chartDrawing">
    <cdr:from>
      <cdr:x>0.16196</cdr:x>
      <cdr:y>0.80375</cdr:y>
    </cdr:from>
    <cdr:to>
      <cdr:x>0.47544</cdr:x>
      <cdr:y>0.843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86275"/>
          <a:ext cx="28575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823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1958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0.16301</cdr:x>
      <cdr:y>0.87201</cdr:y>
    </cdr:from>
    <cdr:to>
      <cdr:x>0.47962</cdr:x>
      <cdr:y>0.91126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867275"/>
          <a:ext cx="28860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621</a:t>
          </a:r>
          <a:r>
            <a:rPr lang="en-US" sz="1000" i="1"/>
            <a:t> - Average Year Built </a:t>
          </a:r>
          <a:r>
            <a:rPr lang="en-US" sz="1000" b="1" i="1"/>
            <a:t>1936</a:t>
          </a:r>
        </a:p>
      </cdr:txBody>
    </cdr:sp>
  </cdr:relSizeAnchor>
  <cdr:relSizeAnchor xmlns:cdr="http://schemas.openxmlformats.org/drawingml/2006/chartDrawing">
    <cdr:from>
      <cdr:x>0.16092</cdr:x>
      <cdr:y>0.93515</cdr:y>
    </cdr:from>
    <cdr:to>
      <cdr:x>0.51202</cdr:x>
      <cdr:y>0.97952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5219700"/>
          <a:ext cx="32004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9</a:t>
          </a:r>
          <a:r>
            <a:rPr lang="en-US" sz="1000" b="1" i="1"/>
            <a:t>20</a:t>
          </a:r>
          <a:r>
            <a:rPr lang="en-US" sz="1000" i="1"/>
            <a:t> - Average Year Built </a:t>
          </a:r>
          <a:r>
            <a:rPr lang="en-US" sz="1000" b="1" i="1"/>
            <a:t>1957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2016-10-31T17:11:00Z</dcterms:created>
  <dcterms:modified xsi:type="dcterms:W3CDTF">2016-10-31T17:28:00Z</dcterms:modified>
</cp:coreProperties>
</file>